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4C7" w:rsidRDefault="00BB04C7" w:rsidP="00BB04C7">
      <w:pPr>
        <w:pStyle w:val="a3"/>
        <w:shd w:val="clear" w:color="auto" w:fill="DCE0E0"/>
        <w:spacing w:before="180" w:beforeAutospacing="0" w:after="18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Итоги диспансеризации в Никольском районе  за  2020 год.</w:t>
      </w:r>
    </w:p>
    <w:p w:rsidR="00BB04C7" w:rsidRDefault="00BB04C7" w:rsidP="00BB04C7">
      <w:pPr>
        <w:pStyle w:val="a3"/>
        <w:shd w:val="clear" w:color="auto" w:fill="DCE0E0"/>
        <w:spacing w:before="180" w:beforeAutospacing="0" w:after="18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Подлежит  диспансеризации – 5850  человек.</w:t>
      </w:r>
      <w:r>
        <w:rPr>
          <w:rFonts w:ascii="Arial" w:hAnsi="Arial" w:cs="Arial"/>
          <w:color w:val="000000"/>
          <w:sz w:val="20"/>
          <w:szCs w:val="20"/>
        </w:rPr>
        <w:br/>
        <w:t>Всего прошли: 1 этап ДД – 2227   человек.</w:t>
      </w:r>
      <w:r>
        <w:rPr>
          <w:rFonts w:ascii="Arial" w:hAnsi="Arial" w:cs="Arial"/>
          <w:color w:val="000000"/>
          <w:sz w:val="20"/>
          <w:szCs w:val="20"/>
        </w:rPr>
        <w:br/>
        <w:t>Всего прошли: 2 этап ДД – 162   человек.</w:t>
      </w:r>
      <w:r>
        <w:rPr>
          <w:rFonts w:ascii="Arial" w:hAnsi="Arial" w:cs="Arial"/>
          <w:color w:val="000000"/>
          <w:sz w:val="20"/>
          <w:szCs w:val="20"/>
        </w:rPr>
        <w:br/>
        <w:t>Прошли диспансеризацию 1 этап мужчин -958 чел, женщин 1269  чел.</w:t>
      </w:r>
      <w:r>
        <w:rPr>
          <w:rFonts w:ascii="Arial" w:hAnsi="Arial" w:cs="Arial"/>
          <w:color w:val="000000"/>
          <w:sz w:val="20"/>
          <w:szCs w:val="20"/>
        </w:rPr>
        <w:br/>
        <w:t>II этап мужчин-85  чел.,  женщин 77 чел.</w:t>
      </w:r>
      <w:r>
        <w:rPr>
          <w:rFonts w:ascii="Arial" w:hAnsi="Arial" w:cs="Arial"/>
          <w:color w:val="000000"/>
          <w:sz w:val="20"/>
          <w:szCs w:val="20"/>
        </w:rPr>
        <w:br/>
        <w:t>Установлены группы здоровья:</w:t>
      </w:r>
      <w:r>
        <w:rPr>
          <w:rFonts w:ascii="Arial" w:hAnsi="Arial" w:cs="Arial"/>
          <w:color w:val="000000"/>
          <w:sz w:val="20"/>
          <w:szCs w:val="20"/>
        </w:rPr>
        <w:br/>
        <w:t>1 группа здоровья-151  чел.,</w:t>
      </w:r>
      <w:r>
        <w:rPr>
          <w:rFonts w:ascii="Arial" w:hAnsi="Arial" w:cs="Arial"/>
          <w:color w:val="000000"/>
          <w:sz w:val="20"/>
          <w:szCs w:val="20"/>
        </w:rPr>
        <w:br/>
        <w:t>2 группа здоровья– 360 чел,</w:t>
      </w:r>
      <w:r>
        <w:rPr>
          <w:rFonts w:ascii="Arial" w:hAnsi="Arial" w:cs="Arial"/>
          <w:color w:val="000000"/>
          <w:sz w:val="20"/>
          <w:szCs w:val="20"/>
        </w:rPr>
        <w:br/>
        <w:t>3а группа здоровья –1575  чел.</w:t>
      </w:r>
      <w:r>
        <w:rPr>
          <w:rFonts w:ascii="Arial" w:hAnsi="Arial" w:cs="Arial"/>
          <w:color w:val="000000"/>
          <w:sz w:val="20"/>
          <w:szCs w:val="20"/>
        </w:rPr>
        <w:br/>
        <w:t>3б группа здоровья –141  чел.</w:t>
      </w:r>
    </w:p>
    <w:p w:rsidR="00BB04C7" w:rsidRDefault="00BB04C7" w:rsidP="00BB04C7">
      <w:pPr>
        <w:pStyle w:val="a3"/>
        <w:shd w:val="clear" w:color="auto" w:fill="DCE0E0"/>
        <w:spacing w:before="180" w:beforeAutospacing="0" w:after="18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Назначено лечение  - 1938   чел.</w:t>
      </w:r>
      <w:r>
        <w:rPr>
          <w:rFonts w:ascii="Arial" w:hAnsi="Arial" w:cs="Arial"/>
          <w:color w:val="000000"/>
          <w:sz w:val="20"/>
          <w:szCs w:val="20"/>
        </w:rPr>
        <w:br/>
        <w:t>Направлено на дополнительное диагностическое исследование, не входящее в объем диспансеризации  - 50 чел.</w:t>
      </w:r>
      <w:r>
        <w:rPr>
          <w:rFonts w:ascii="Arial" w:hAnsi="Arial" w:cs="Arial"/>
          <w:color w:val="000000"/>
          <w:sz w:val="20"/>
          <w:szCs w:val="20"/>
        </w:rPr>
        <w:br/>
        <w:t>Направлено для получения специализированной, в том числе высокотехнологичной, медицинской помощи – 7 чел.</w:t>
      </w:r>
      <w:r>
        <w:rPr>
          <w:rFonts w:ascii="Arial" w:hAnsi="Arial" w:cs="Arial"/>
          <w:color w:val="000000"/>
          <w:sz w:val="20"/>
          <w:szCs w:val="20"/>
        </w:rPr>
        <w:br/>
        <w:t>Направлено на санаторно-курортное лечение 1 чел.</w:t>
      </w:r>
    </w:p>
    <w:p w:rsidR="00BB04C7" w:rsidRDefault="00BB04C7" w:rsidP="00BB04C7">
      <w:pPr>
        <w:pStyle w:val="a3"/>
        <w:shd w:val="clear" w:color="auto" w:fill="DCE0E0"/>
        <w:spacing w:before="180" w:beforeAutospacing="0" w:after="18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Выявлены факторы риска хронических неинфекционных заболеваний:</w:t>
      </w:r>
      <w:r>
        <w:rPr>
          <w:rFonts w:ascii="Arial" w:hAnsi="Arial" w:cs="Arial"/>
          <w:color w:val="000000"/>
          <w:sz w:val="20"/>
          <w:szCs w:val="20"/>
        </w:rPr>
        <w:br/>
        <w:t>Повышенное АД – 119  чел.</w:t>
      </w:r>
      <w:r>
        <w:rPr>
          <w:rFonts w:ascii="Arial" w:hAnsi="Arial" w:cs="Arial"/>
          <w:color w:val="000000"/>
          <w:sz w:val="20"/>
          <w:szCs w:val="20"/>
        </w:rPr>
        <w:br/>
        <w:t>Повышенный сахар - 61 чел.</w:t>
      </w:r>
      <w:r>
        <w:rPr>
          <w:rFonts w:ascii="Arial" w:hAnsi="Arial" w:cs="Arial"/>
          <w:color w:val="000000"/>
          <w:sz w:val="20"/>
          <w:szCs w:val="20"/>
        </w:rPr>
        <w:br/>
        <w:t>Избыточная масса тела -  330 чел.</w:t>
      </w:r>
      <w:r>
        <w:rPr>
          <w:rFonts w:ascii="Arial" w:hAnsi="Arial" w:cs="Arial"/>
          <w:color w:val="000000"/>
          <w:sz w:val="20"/>
          <w:szCs w:val="20"/>
        </w:rPr>
        <w:br/>
        <w:t>Курение – 27 чел.</w:t>
      </w:r>
      <w:r>
        <w:rPr>
          <w:rFonts w:ascii="Arial" w:hAnsi="Arial" w:cs="Arial"/>
          <w:color w:val="000000"/>
          <w:sz w:val="20"/>
          <w:szCs w:val="20"/>
        </w:rPr>
        <w:br/>
        <w:t>Употребление алкоголя – 17 чел.</w:t>
      </w:r>
      <w:r>
        <w:rPr>
          <w:rFonts w:ascii="Arial" w:hAnsi="Arial" w:cs="Arial"/>
          <w:color w:val="000000"/>
          <w:sz w:val="20"/>
          <w:szCs w:val="20"/>
        </w:rPr>
        <w:br/>
        <w:t>Низкая физическая активность –287  чел.</w:t>
      </w:r>
      <w:r>
        <w:rPr>
          <w:rFonts w:ascii="Arial" w:hAnsi="Arial" w:cs="Arial"/>
          <w:color w:val="000000"/>
          <w:sz w:val="20"/>
          <w:szCs w:val="20"/>
        </w:rPr>
        <w:br/>
        <w:t>Нерациональное питание - 197 чел.</w:t>
      </w:r>
      <w:r>
        <w:rPr>
          <w:rFonts w:ascii="Arial" w:hAnsi="Arial" w:cs="Arial"/>
          <w:color w:val="000000"/>
          <w:sz w:val="20"/>
          <w:szCs w:val="20"/>
        </w:rPr>
        <w:br/>
        <w:t>Отягощенная наследственность -  38 чел.</w:t>
      </w:r>
      <w:r>
        <w:rPr>
          <w:rFonts w:ascii="Arial" w:hAnsi="Arial" w:cs="Arial"/>
          <w:color w:val="000000"/>
          <w:sz w:val="20"/>
          <w:szCs w:val="20"/>
        </w:rPr>
        <w:br/>
        <w:t>Высокий суммарный сердечно - сосудистый  риск -51  чел.</w:t>
      </w:r>
      <w:r>
        <w:rPr>
          <w:rFonts w:ascii="Arial" w:hAnsi="Arial" w:cs="Arial"/>
          <w:color w:val="000000"/>
          <w:sz w:val="20"/>
          <w:szCs w:val="20"/>
        </w:rPr>
        <w:br/>
        <w:t>Очень высокий суммарный сердечн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о-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сосудистый  риск  - 16 чел.</w:t>
      </w:r>
    </w:p>
    <w:p w:rsidR="00BB04C7" w:rsidRDefault="00BB04C7" w:rsidP="00BB04C7">
      <w:pPr>
        <w:pStyle w:val="a3"/>
        <w:shd w:val="clear" w:color="auto" w:fill="DCE0E0"/>
        <w:spacing w:before="180" w:beforeAutospacing="0" w:after="180" w:afterAutospacing="0"/>
        <w:jc w:val="center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Впервые выявлено заболеваний  при проведении диспансеризации: 388 чел.</w:t>
      </w:r>
      <w:r>
        <w:rPr>
          <w:rFonts w:ascii="Arial" w:hAnsi="Arial" w:cs="Arial"/>
          <w:color w:val="000000"/>
          <w:sz w:val="20"/>
          <w:szCs w:val="20"/>
        </w:rPr>
        <w:br/>
        <w:t>новообразования- 7 чел. в  т.ч. злокачественные –  чел.</w:t>
      </w:r>
      <w:r>
        <w:rPr>
          <w:rFonts w:ascii="Arial" w:hAnsi="Arial" w:cs="Arial"/>
          <w:color w:val="000000"/>
          <w:sz w:val="20"/>
          <w:szCs w:val="20"/>
        </w:rPr>
        <w:br/>
        <w:t>Болезни крови, кроветворных органов и отдельные нарушения, вовлекающие иммунный механизм – 10  чел.</w:t>
      </w:r>
      <w:r>
        <w:rPr>
          <w:rFonts w:ascii="Arial" w:hAnsi="Arial" w:cs="Arial"/>
          <w:color w:val="000000"/>
          <w:sz w:val="20"/>
          <w:szCs w:val="20"/>
        </w:rPr>
        <w:br/>
        <w:t>Болезни эндокринной системы, расстройства питания и нарушения обмена веществ  40 чел.</w:t>
      </w:r>
      <w:r>
        <w:rPr>
          <w:rFonts w:ascii="Arial" w:hAnsi="Arial" w:cs="Arial"/>
          <w:color w:val="000000"/>
          <w:sz w:val="20"/>
          <w:szCs w:val="20"/>
        </w:rPr>
        <w:br/>
        <w:t>Болезни нервной системы  0 чел.</w:t>
      </w:r>
      <w:r>
        <w:rPr>
          <w:rFonts w:ascii="Arial" w:hAnsi="Arial" w:cs="Arial"/>
          <w:color w:val="000000"/>
          <w:sz w:val="20"/>
          <w:szCs w:val="20"/>
        </w:rPr>
        <w:br/>
        <w:t>Болезни глаза и его придаточного аппарата 0 чел.</w:t>
      </w:r>
      <w:r>
        <w:rPr>
          <w:rFonts w:ascii="Arial" w:hAnsi="Arial" w:cs="Arial"/>
          <w:color w:val="000000"/>
          <w:sz w:val="20"/>
          <w:szCs w:val="20"/>
        </w:rPr>
        <w:br/>
        <w:t>Болезни системы кровообращения  202 чел.</w:t>
      </w:r>
      <w:r>
        <w:rPr>
          <w:rFonts w:ascii="Arial" w:hAnsi="Arial" w:cs="Arial"/>
          <w:color w:val="000000"/>
          <w:sz w:val="20"/>
          <w:szCs w:val="20"/>
        </w:rPr>
        <w:br/>
        <w:t>Болезни органов дыхания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 23 чел.</w:t>
      </w:r>
      <w:r>
        <w:rPr>
          <w:rFonts w:ascii="Arial" w:hAnsi="Arial" w:cs="Arial"/>
          <w:color w:val="000000"/>
          <w:sz w:val="20"/>
          <w:szCs w:val="20"/>
        </w:rPr>
        <w:br/>
        <w:t>Болезни органов пищеварения 32  чел.</w:t>
      </w:r>
      <w:r>
        <w:rPr>
          <w:rFonts w:ascii="Arial" w:hAnsi="Arial" w:cs="Arial"/>
          <w:color w:val="000000"/>
          <w:sz w:val="20"/>
          <w:szCs w:val="20"/>
        </w:rPr>
        <w:br/>
        <w:t>Болезни мочеполовой системы  39  чел.</w:t>
      </w:r>
      <w:r>
        <w:rPr>
          <w:rFonts w:ascii="Arial" w:hAnsi="Arial" w:cs="Arial"/>
          <w:color w:val="000000"/>
          <w:sz w:val="20"/>
          <w:szCs w:val="20"/>
        </w:rPr>
        <w:br/>
        <w:t>Прочие заболевания  35  чел.</w:t>
      </w:r>
    </w:p>
    <w:p w:rsidR="00BB04C7" w:rsidRDefault="00BB04C7" w:rsidP="00BB04C7">
      <w:pPr>
        <w:pStyle w:val="a3"/>
        <w:shd w:val="clear" w:color="auto" w:fill="DCE0E0"/>
        <w:spacing w:before="180" w:beforeAutospacing="0" w:after="18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        ГБУЗ «Никольская РБ»</w:t>
      </w:r>
    </w:p>
    <w:p w:rsidR="00BB04C7" w:rsidRDefault="00BB04C7" w:rsidP="00BB04C7">
      <w:pPr>
        <w:pStyle w:val="a3"/>
        <w:shd w:val="clear" w:color="auto" w:fill="DCE0E0"/>
        <w:spacing w:before="180" w:beforeAutospacing="0" w:after="18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Итоги диспансеризации в Никольском районе  за  февраль месяц 2020 год.</w:t>
      </w:r>
    </w:p>
    <w:p w:rsidR="00BB04C7" w:rsidRDefault="00BB04C7" w:rsidP="00BB04C7">
      <w:pPr>
        <w:pStyle w:val="a3"/>
        <w:shd w:val="clear" w:color="auto" w:fill="DCE0E0"/>
        <w:spacing w:before="180" w:beforeAutospacing="0" w:after="18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Подлежит  диспансеризации – 5850  чел</w:t>
      </w:r>
      <w:proofErr w:type="gramStart"/>
      <w:r>
        <w:rPr>
          <w:rFonts w:ascii="Arial" w:hAnsi="Arial" w:cs="Arial"/>
          <w:color w:val="000000"/>
          <w:sz w:val="20"/>
          <w:szCs w:val="20"/>
        </w:rPr>
        <w:br/>
        <w:t>В</w:t>
      </w:r>
      <w:proofErr w:type="gramEnd"/>
      <w:r>
        <w:rPr>
          <w:rFonts w:ascii="Arial" w:hAnsi="Arial" w:cs="Arial"/>
          <w:color w:val="000000"/>
          <w:sz w:val="20"/>
          <w:szCs w:val="20"/>
        </w:rPr>
        <w:t>сего прошли: 1 этап ДД – 1021   человек.</w:t>
      </w:r>
      <w:r>
        <w:rPr>
          <w:rFonts w:ascii="Arial" w:hAnsi="Arial" w:cs="Arial"/>
          <w:color w:val="000000"/>
          <w:sz w:val="20"/>
          <w:szCs w:val="20"/>
        </w:rPr>
        <w:br/>
        <w:t>Всего прошли: 2 этап ДД – 84   человек.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gramStart"/>
      <w:r>
        <w:rPr>
          <w:rFonts w:ascii="Arial" w:hAnsi="Arial" w:cs="Arial"/>
          <w:color w:val="000000"/>
          <w:sz w:val="20"/>
          <w:szCs w:val="20"/>
        </w:rPr>
        <w:t>Прошли диспансеризацию 1 этап мужчин -444 чел, женщин 577  чел.</w:t>
      </w:r>
      <w:r>
        <w:rPr>
          <w:rFonts w:ascii="Arial" w:hAnsi="Arial" w:cs="Arial"/>
          <w:color w:val="000000"/>
          <w:sz w:val="20"/>
          <w:szCs w:val="20"/>
        </w:rPr>
        <w:br/>
        <w:t>II этап мужчин-38  чел.,  женщин 46 чел.</w:t>
      </w:r>
      <w:r>
        <w:rPr>
          <w:rFonts w:ascii="Arial" w:hAnsi="Arial" w:cs="Arial"/>
          <w:color w:val="000000"/>
          <w:sz w:val="20"/>
          <w:szCs w:val="20"/>
        </w:rPr>
        <w:br/>
        <w:t>Установлены группы здоровья:</w:t>
      </w:r>
      <w:r>
        <w:rPr>
          <w:rFonts w:ascii="Arial" w:hAnsi="Arial" w:cs="Arial"/>
          <w:color w:val="000000"/>
          <w:sz w:val="20"/>
          <w:szCs w:val="20"/>
        </w:rPr>
        <w:br/>
        <w:t>1 группа здоровья-39  чел.,</w:t>
      </w:r>
      <w:r>
        <w:rPr>
          <w:rFonts w:ascii="Arial" w:hAnsi="Arial" w:cs="Arial"/>
          <w:color w:val="000000"/>
          <w:sz w:val="20"/>
          <w:szCs w:val="20"/>
        </w:rPr>
        <w:br/>
        <w:t>2 группа здоровья– 147 чел,</w:t>
      </w:r>
      <w:r>
        <w:rPr>
          <w:rFonts w:ascii="Arial" w:hAnsi="Arial" w:cs="Arial"/>
          <w:color w:val="000000"/>
          <w:sz w:val="20"/>
          <w:szCs w:val="20"/>
        </w:rPr>
        <w:br/>
        <w:t>3 группа здоровья (лица с хроническими заболеваниями) –835  чел.</w:t>
      </w:r>
      <w:r>
        <w:rPr>
          <w:rFonts w:ascii="Arial" w:hAnsi="Arial" w:cs="Arial"/>
          <w:color w:val="000000"/>
          <w:sz w:val="20"/>
          <w:szCs w:val="20"/>
        </w:rPr>
        <w:br/>
        <w:t>Назначено лечение  30   чел.</w:t>
      </w:r>
      <w:r>
        <w:rPr>
          <w:rFonts w:ascii="Arial" w:hAnsi="Arial" w:cs="Arial"/>
          <w:color w:val="000000"/>
          <w:sz w:val="20"/>
          <w:szCs w:val="20"/>
        </w:rPr>
        <w:br/>
        <w:t>Направлено на дополнительное диагностическое исследование, не входящее в объем диспансеризации  3 чел.</w:t>
      </w:r>
      <w:r>
        <w:rPr>
          <w:rFonts w:ascii="Arial" w:hAnsi="Arial" w:cs="Arial"/>
          <w:color w:val="000000"/>
          <w:sz w:val="20"/>
          <w:szCs w:val="20"/>
        </w:rPr>
        <w:br/>
        <w:t>Направлено на санаторно-курортное лечение 1 чел</w:t>
      </w:r>
      <w:proofErr w:type="gram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  <w:t>Выявлены факторы риска хронических неинфекционных заболеваний:</w:t>
      </w:r>
      <w:r>
        <w:rPr>
          <w:rFonts w:ascii="Arial" w:hAnsi="Arial" w:cs="Arial"/>
          <w:color w:val="000000"/>
          <w:sz w:val="20"/>
          <w:szCs w:val="20"/>
        </w:rPr>
        <w:br/>
        <w:t>Повышенное АД – 44  чел.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lastRenderedPageBreak/>
        <w:t>Повышенный сахар - 22 чел.</w:t>
      </w:r>
      <w:r>
        <w:rPr>
          <w:rFonts w:ascii="Arial" w:hAnsi="Arial" w:cs="Arial"/>
          <w:color w:val="000000"/>
          <w:sz w:val="20"/>
          <w:szCs w:val="20"/>
        </w:rPr>
        <w:br/>
        <w:t>Избыточная масса тела -  166  чел.</w:t>
      </w:r>
      <w:r>
        <w:rPr>
          <w:rFonts w:ascii="Arial" w:hAnsi="Arial" w:cs="Arial"/>
          <w:color w:val="000000"/>
          <w:sz w:val="20"/>
          <w:szCs w:val="20"/>
        </w:rPr>
        <w:br/>
        <w:t>Курение – 6 чел.</w:t>
      </w:r>
      <w:r>
        <w:rPr>
          <w:rFonts w:ascii="Arial" w:hAnsi="Arial" w:cs="Arial"/>
          <w:color w:val="000000"/>
          <w:sz w:val="20"/>
          <w:szCs w:val="20"/>
        </w:rPr>
        <w:br/>
        <w:t>Употребление алкоголя – 8 чел.</w:t>
      </w:r>
      <w:r>
        <w:rPr>
          <w:rFonts w:ascii="Arial" w:hAnsi="Arial" w:cs="Arial"/>
          <w:color w:val="000000"/>
          <w:sz w:val="20"/>
          <w:szCs w:val="20"/>
        </w:rPr>
        <w:br/>
        <w:t>Низкая физическая активность –101  чел.</w:t>
      </w:r>
      <w:r>
        <w:rPr>
          <w:rFonts w:ascii="Arial" w:hAnsi="Arial" w:cs="Arial"/>
          <w:color w:val="000000"/>
          <w:sz w:val="20"/>
          <w:szCs w:val="20"/>
        </w:rPr>
        <w:br/>
        <w:t>Нерациональное питание - 74 чел.</w:t>
      </w:r>
      <w:r>
        <w:rPr>
          <w:rFonts w:ascii="Arial" w:hAnsi="Arial" w:cs="Arial"/>
          <w:color w:val="000000"/>
          <w:sz w:val="20"/>
          <w:szCs w:val="20"/>
        </w:rPr>
        <w:br/>
        <w:t>Отягощенная наследственность -  10 чел.</w:t>
      </w:r>
      <w:r>
        <w:rPr>
          <w:rFonts w:ascii="Arial" w:hAnsi="Arial" w:cs="Arial"/>
          <w:color w:val="000000"/>
          <w:sz w:val="20"/>
          <w:szCs w:val="20"/>
        </w:rPr>
        <w:br/>
        <w:t>Высокий суммарный сердечн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о-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сосудистый  риск -24  чел.</w:t>
      </w:r>
      <w:r>
        <w:rPr>
          <w:rFonts w:ascii="Arial" w:hAnsi="Arial" w:cs="Arial"/>
          <w:color w:val="000000"/>
          <w:sz w:val="20"/>
          <w:szCs w:val="20"/>
        </w:rPr>
        <w:br/>
        <w:t>Очень высокий суммарный сердечно- сосудистый  риск  - 5 чел.</w:t>
      </w:r>
      <w:r>
        <w:rPr>
          <w:rFonts w:ascii="Arial" w:hAnsi="Arial" w:cs="Arial"/>
          <w:color w:val="000000"/>
          <w:sz w:val="20"/>
          <w:szCs w:val="20"/>
        </w:rPr>
        <w:br/>
        <w:t>Впервые выявлено заболеваний  при проведении диспансеризации : 135 чел.</w:t>
      </w:r>
      <w:r>
        <w:rPr>
          <w:rFonts w:ascii="Arial" w:hAnsi="Arial" w:cs="Arial"/>
          <w:color w:val="000000"/>
          <w:sz w:val="20"/>
          <w:szCs w:val="20"/>
        </w:rPr>
        <w:br/>
        <w:t xml:space="preserve">новообразования- 1 чел. в 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т.ч. злокачественные –  чел.</w:t>
      </w:r>
      <w:r>
        <w:rPr>
          <w:rFonts w:ascii="Arial" w:hAnsi="Arial" w:cs="Arial"/>
          <w:color w:val="000000"/>
          <w:sz w:val="20"/>
          <w:szCs w:val="20"/>
        </w:rPr>
        <w:br/>
        <w:t>Болезни крови, кроветворных органов и отдельные нарушения, вовлекающие иммунный механизм – 3  чел.</w:t>
      </w:r>
      <w:r>
        <w:rPr>
          <w:rFonts w:ascii="Arial" w:hAnsi="Arial" w:cs="Arial"/>
          <w:color w:val="000000"/>
          <w:sz w:val="20"/>
          <w:szCs w:val="20"/>
        </w:rPr>
        <w:br/>
        <w:t>Болезни эндокринной системы, расстройства питания и нарушения обмена веществ  32 чел.</w:t>
      </w:r>
      <w:r>
        <w:rPr>
          <w:rFonts w:ascii="Arial" w:hAnsi="Arial" w:cs="Arial"/>
          <w:color w:val="000000"/>
          <w:sz w:val="20"/>
          <w:szCs w:val="20"/>
        </w:rPr>
        <w:br/>
        <w:t>Болезни нервной системы  0 чел.</w:t>
      </w:r>
      <w:r>
        <w:rPr>
          <w:rFonts w:ascii="Arial" w:hAnsi="Arial" w:cs="Arial"/>
          <w:color w:val="000000"/>
          <w:sz w:val="20"/>
          <w:szCs w:val="20"/>
        </w:rPr>
        <w:br/>
        <w:t>Болезни глаза и его придаточного аппарата 0 чел.</w:t>
      </w:r>
      <w:r>
        <w:rPr>
          <w:rFonts w:ascii="Arial" w:hAnsi="Arial" w:cs="Arial"/>
          <w:color w:val="000000"/>
          <w:sz w:val="20"/>
          <w:szCs w:val="20"/>
        </w:rPr>
        <w:br/>
        <w:t>Болезни системы кровообращения  48 чел.</w:t>
      </w:r>
      <w:r>
        <w:rPr>
          <w:rFonts w:ascii="Arial" w:hAnsi="Arial" w:cs="Arial"/>
          <w:color w:val="000000"/>
          <w:sz w:val="20"/>
          <w:szCs w:val="20"/>
        </w:rPr>
        <w:br/>
        <w:t>Болезни органов дыхания  6 чел.</w:t>
      </w:r>
      <w:r>
        <w:rPr>
          <w:rFonts w:ascii="Arial" w:hAnsi="Arial" w:cs="Arial"/>
          <w:color w:val="000000"/>
          <w:sz w:val="20"/>
          <w:szCs w:val="20"/>
        </w:rPr>
        <w:br/>
        <w:t>Болезни органов пищеварения 11 чел.</w:t>
      </w:r>
      <w:r>
        <w:rPr>
          <w:rFonts w:ascii="Arial" w:hAnsi="Arial" w:cs="Arial"/>
          <w:color w:val="000000"/>
          <w:sz w:val="20"/>
          <w:szCs w:val="20"/>
        </w:rPr>
        <w:br/>
        <w:t>Болезни мочеполовой системы  8  чел</w:t>
      </w:r>
      <w:proofErr w:type="gram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  <w:t>Прочие заболевания  26  чел.</w:t>
      </w:r>
    </w:p>
    <w:p w:rsidR="00BB04C7" w:rsidRDefault="00BB04C7" w:rsidP="00BB04C7">
      <w:pPr>
        <w:pStyle w:val="a3"/>
        <w:shd w:val="clear" w:color="auto" w:fill="DCE0E0"/>
        <w:spacing w:before="180" w:beforeAutospacing="0" w:after="18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Врач ВОП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Буйнова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С.В.</w:t>
      </w:r>
    </w:p>
    <w:p w:rsidR="006B3504" w:rsidRDefault="006B3504"/>
    <w:sectPr w:rsidR="006B3504" w:rsidSect="006B3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B04C7"/>
    <w:rsid w:val="006B3504"/>
    <w:rsid w:val="00BB0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0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04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2021-12-14T12:11:00Z</dcterms:created>
  <dcterms:modified xsi:type="dcterms:W3CDTF">2021-12-14T12:12:00Z</dcterms:modified>
</cp:coreProperties>
</file>